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49a HGrG — Gremium zur Standardisierung des staatlichen Rechnungswesens</w:t>
      </w:r>
    </w:p>
    <w:p>
      <w:r>
        <w:rPr>
          <w:color w:val="555555"/>
          <w:sz w:val="18"/>
        </w:rPr>
        <w:t xml:space="preserve">Haushaltsgrundsätzegesetz</w:t>
      </w:r>
    </w:p>
    <w:p>
      <w:r>
        <w:rPr>
          <w:color w:val="555555"/>
          <w:sz w:val="18"/>
        </w:rPr>
        <w:t xml:space="preserve">Stand: 01.01.2025 (konsolidierte Textfassung, kein amtliches Inkrafttretensdatum)</w:t>
      </w:r>
    </w:p>
    <w:p>
      <w:r>
        <w:t xml:space="preserve">(1) Zur Gewährleistung einer einheitlichen Verfahrens- und Datengrundlage jeweils für Kameralistik, Doppik und Produkthaushalte richten Bund und Länder ein gemeinsames Gremium ein. Das Gremium erarbeitet Standards für kamerale und doppische Haushalte sowie für Produkthaushalte und stellt dabei sicher, dass die Anforderungen der Finanzstatistik einschließlich der der Volkswirtschaftlichen Gesamtrechnungen berücksichtigt werden. Beschlüsse werden mit den Stimmen des Bundes und der Mehrheit von zwei Dritteln der Zahl der Länder gefasst. Die Standards werden jeweils durch Verwaltungsvorschriften des Bundes und der Länder umgesetzt. Das Gremium erarbeitet die Standards für doppische Haushalte und Produkthaushalte erstmals zum 1. Januar 2010 und überprüft die Standards für doppische Haushalte, Produkthaushalte und kamerale Haushalte anschließend einmal jährlich. Näheres regelt eine Verwaltungsvereinbarung zwischen Bund und Ländern.</w:t>
      </w:r>
    </w:p>
    <w:p>
      <w:r>
        <w:t xml:space="preserve">(1a) Im Zusammenhang mit der Kreditaufnahme ist es im Haushalt des Bundes abweichend vom Grundsatz der Einheitlichkeit zulässig, bei Verkauf und Kauf von selbst emittierten Wertpapieren entsprechend § 7b zu verfahren.</w:t>
      </w:r>
    </w:p>
    <w:p>
      <w:r>
        <w:t xml:space="preserve">(2) Zur Gewährleistung der Vergleichbarkeit der Haushaltswirtschaft bei Bund und Ländern kann die Bundesregierung durch Rechtsverordnung, die der Zustimmung des Bundesrates bedarf, nähere Bestimmungen erlassen über die Standards für kamerale und doppische Haushalte sowie für Produkthaushalte, insbesondere zum Gruppierungs- und Funktionenplan, zum Verwaltungskontenrahmen und Produktrahmen sowie zu den Standards nach § 7a Absatz 2 für die staatliche Doppik.</w:t>
      </w:r>
    </w:p>
    <w:p>
      <w:r>
        <w:rPr>
          <w:color w:val="555555"/>
          <w:sz w:val="17"/>
        </w:rPr>
        <w:t xml:space="preserve">Zitiervorschlag: § 49a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