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HGrG — Entlastung, Rechnung des Rechnungshofes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gesetzgebenden Körperschaften beschließen auf Grund der Rechnung und des jährlichen Berichts des Rechnungshofes über die Entlastung der Regierung.</w:t>
      </w:r>
    </w:p>
    <w:p>
      <w:r>
        <w:t xml:space="preserve">(2) Die Rechnung des Rechnungshofes wird von den gesetzgebenden Körperschaften geprüft, die auch die Entlastung erteilen.</w:t>
      </w:r>
    </w:p>
    <w:p>
      <w:r>
        <w:rPr>
          <w:color w:val="555555"/>
          <w:sz w:val="17"/>
        </w:rPr>
        <w:t xml:space="preserve">Zitiervorschlag: § 47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