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HGrG — Ergebnis der Prüfung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Rechnungshof faßt das Ergebnis seiner Prüfung, soweit es für die Entlastung der Regierung von Bedeutung sein kann, jährlich in einem Bericht für die gesetzgebenden Körperschaften zusammen.</w:t>
      </w:r>
    </w:p>
    <w:p>
      <w:r>
        <w:t xml:space="preserve">(2) In den Bericht können Feststellungen auch über spätere oder frühere Haushaltsjahre aufgenommen werden.</w:t>
      </w:r>
    </w:p>
    <w:p>
      <w:r>
        <w:t xml:space="preserve">(3) Über Angelegenheiten von besonderer Bedeutung kann der Rechnungshof die gesetzgebenden Körperschaften und die Regierung jederzeit unterrichten.</w:t>
      </w:r>
    </w:p>
    <w:p>
      <w:r>
        <w:rPr>
          <w:color w:val="555555"/>
          <w:sz w:val="17"/>
        </w:rPr>
        <w:t xml:space="preserve">Zitiervorschlag: § 46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