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HGrG — Aufgaben des Rechnungshofes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gesamte Haushalts- und Wirtschaftsführung des Bundes und der Länder einschließlich ihrer Sondervermögen und Betriebe wird von Rechnungshöfen geprüft.</w:t>
      </w:r>
    </w:p>
    <w:p>
      <w:r>
        <w:t xml:space="preserve">(2) Der Rechnungshof prüft insbesondere</w:t>
      </w:r>
    </w:p>
    <w:p>
      <w:pPr>
        <w:ind w:left="420"/>
      </w:pPr>
      <w:r>
        <w:t xml:space="preserve">1. die Einnahmen, Ausgaben und Verpflichtungen zur Leistung von Ausgaben,</w:t>
      </w:r>
    </w:p>
    <w:p>
      <w:pPr>
        <w:ind w:left="420"/>
      </w:pPr>
      <w:r>
        <w:t xml:space="preserve">2. Maßnahmen, die sich finanziell auswirken können,</w:t>
      </w:r>
    </w:p>
    <w:p>
      <w:pPr>
        <w:ind w:left="420"/>
      </w:pPr>
      <w:r>
        <w:t xml:space="preserve">3. das Vermögen und die Schulden.</w:t>
      </w:r>
    </w:p>
    <w:p>
      <w:r>
        <w:t xml:space="preserve">(3) Der Rechnungshof kann nach seinem Ermessen die Prüfung beschränken und Rechnungen ungeprüft lassen.</w:t>
      </w:r>
    </w:p>
    <w:p>
      <w:r>
        <w:t xml:space="preserve">(4) Die Durchführung der Prüfung von geheimzuhaltenden Angelegenheiten kann gesetzlich besonders geregelt werden.</w:t>
      </w:r>
    </w:p>
    <w:p>
      <w:r>
        <w:t xml:space="preserve">(5) Auf Grund von Prüfungserfahrungen kann der Rechnungshof beraten. Das Nähere wird durch Gesetz geregelt.</w:t>
      </w:r>
    </w:p>
    <w:p>
      <w:r>
        <w:rPr>
          <w:color w:val="555555"/>
          <w:sz w:val="17"/>
        </w:rPr>
        <w:t xml:space="preserve">Zitiervorschlag: § 42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