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HGrG — Baumaßnahmen, größere Beschaffungen, größere Entwicklungsvorhaben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Baumaßnahmen dürfen nur begonnen werden, wenn ausführliche Entwurfszeichnungen und Kostenberechnungen vorliegen, es sei denn, daß es sich um kleine Maßnahmen handelt. In den Zeichnungen und Berechnungen darf von den in § 16 bezeichneten Unterlagen nur insoweit abgewichen werden, als die Änderung nicht erheblich ist; weitergehende Ausnahmen bedürfen der Einwilligung des für die Finanzen zuständigen Ministeriums.</w:t>
      </w:r>
    </w:p>
    <w:p>
      <w:r>
        <w:t xml:space="preserve">(2) Größeren Beschaffungen und größeren Entwicklungsvorhaben sind ausreichende Unterlagen zugrunde zu legen. Absatz 1 Satz 2 gilt entsprechend.</w:t>
      </w:r>
    </w:p>
    <w:p>
      <w:r>
        <w:rPr>
          <w:color w:val="555555"/>
          <w:sz w:val="17"/>
        </w:rPr>
        <w:t xml:space="preserve">Zitiervorschlag: § 29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