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HGrG — Personalwirtschaftliche Grundsätze</w:t>
      </w:r>
    </w:p>
    <w:p>
      <w:r>
        <w:rPr>
          <w:color w:val="555555"/>
          <w:sz w:val="18"/>
        </w:rPr>
        <w:t xml:space="preserve">Haushaltsgrundsätzegesetz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Amt darf nur zusammen mit der Einweisung in eine besetzbare Planstelle verliehen werden.</w:t>
      </w:r>
    </w:p>
    <w:p>
      <w:r>
        <w:t xml:space="preserve">(2) Personalausgaben, die nicht auf Gesetz oder Tarifvertrag beruhen, dürfen nur geleistet werden, wenn dafür Ausgabemittel besonders zur Verfügung gestellt sind.</w:t>
      </w:r>
    </w:p>
    <w:p>
      <w:r>
        <w:rPr>
          <w:color w:val="555555"/>
          <w:sz w:val="17"/>
        </w:rPr>
        <w:t xml:space="preserve">Zitiervorschlag: § 28 HGrG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https://recht.nulegal.eu/gesetze/HGrG/28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