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HGrG — Zuwendungen, Verwaltung von Mitteln oder Vermögensgegenständen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Zuwendungen dürfen nur unter den Voraussetzungen des § 14 gewährt werden. Dabei ist zu bestimmen, wie die zweckentsprechende Verwendung der Zuwendungen nachzuweisen ist. Außerdem ist ein Prüfungsrecht der zuständigen Dienststelle oder ihrer Beauftragten festzulegen.</w:t>
      </w:r>
    </w:p>
    <w:p>
      <w:r>
        <w:t xml:space="preserve">(2) Sollen Mittel oder Vermögensgegenstände des Bundes oder des Landes von Stellen außerhalb der Verwaltung des Bundes oder des Landes verwaltet werden, ist Absatz 1 entsprechend anzuwenden.</w:t>
      </w:r>
    </w:p>
    <w:p>
      <w:r>
        <w:rPr>
          <w:color w:val="555555"/>
          <w:sz w:val="17"/>
        </w:rPr>
        <w:t xml:space="preserve">Zitiervorschlag: § 26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