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HGrG — Haushaltswirtschaft</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(1) Die Haushaltswirtschaft kann in ihrem Rechnungswesen im Rahmen der folgenden Vorschriften kameral oder nach den Grundsätzen der staatlichen doppelten Buchführung nach § 7a (staatliche Doppik) gestaltet werden. Die Aufstellung, Bewirtschaftung und Rechnungslegung des Haushalts kann gegliedert nach Titeln, Konten oder Produktstrukturen (Produkthaushalt) erfolgen.</w:t>
      </w:r>
    </w:p>
    <w:p>
      <w:r>
        <w:t xml:space="preserve">(2) Die Bestimmungen dieses Gesetzes für den Haushaltsplan, für Titel sowie für Einnahmen und Ausgaben gelten bei doppischem Rechnungswesen entsprechend. Soweit im Folgenden nichts anderes geregelt ist, treten in Teil I und in § 56 an die Stelle des Haushaltsplans der Erfolgsplan und der doppische Finanzplan, an die Stelle von Titeln Konten. An die Stelle von Einnahmen treten Erträge im Erfolgsplan und Einzahlungen im doppischen Finanzplan, an die Stelle von Ausgaben treten Aufwendungen im Erfolgsplan und Auszahlungen im doppischen Finanzplan. Bei Produkthaushalten treten an die Stelle der Titel die Produktstruktur und an die Stelle von Einnahmen und Ausgaben die zur Produkterstellung zugewiesenen Mittel.</w:t>
      </w:r>
    </w:p>
    <w:p>
      <w:r>
        <w:t xml:space="preserve">(3) Die Aufstellung und Ausführung des Haushaltsplans als Produkthaushalt erfolgt leistungsbezogen durch die Verbindung von nach Produkten strukturierten Mittelzuweisungen mit einer Spezialität nach Leistungszwecken. Art und Umfang der zu erbringenden Leistungen sind durch Gesetz oder den Haushaltsplan verbindlich festzulegen. Für die Bereiche, für die ein Produkthaushalt aufgestellt wird, ist grundsätzlich eine Kosten- und Leistungsrechnung einzuführen.</w:t>
      </w:r>
    </w:p>
    <w:p>
      <w:r>
        <w:rPr>
          <w:color w:val="555555"/>
          <w:sz w:val="17"/>
        </w:rPr>
        <w:t xml:space="preserve">Zitiervorschlag: § 1a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