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HGrG — Betriebe, Sondervermögen</w:t>
      </w:r>
    </w:p>
    <w:p>
      <w:r>
        <w:rPr>
          <w:color w:val="555555"/>
          <w:sz w:val="18"/>
        </w:rPr>
        <w:t xml:space="preserve">Haushaltsgrundsätzegesetz</w:t>
      </w:r>
    </w:p>
    <w:p>
      <w:r>
        <w:rPr>
          <w:color w:val="555555"/>
          <w:sz w:val="18"/>
        </w:rPr>
        <w:t xml:space="preserve">Stand: 10.06.2019 (konsolidierte Textfassung, kein amtliches Inkrafttretensdatum)</w:t>
      </w:r>
    </w:p>
    <w:p>
      <w:r>
        <w:t xml:space="preserve">(1) Betriebe des Bundes oder des Landes haben einen Wirtschaftsplan aufzustellen, wenn ein Wirtschaften nach dem Haushaltsplan des Bundes oder des Landes nicht zweckmäßig ist. Der Wirtschaftsplan oder eine Übersicht über den Wirtschaftsplan ist dem Haushaltsplan als Anlage beizufügen oder in die Erläuterungen aufzunehmen. Im Haushaltsplan sind nur die Zuführungen oder die Ablieferungen zu veranschlagen. Planstellen sind nach Besoldungsgruppen und Amtsbezeichnungen im Haushaltsplan auszubringen.</w:t>
      </w:r>
    </w:p>
    <w:p>
      <w:r>
        <w:t xml:space="preserve">(2) Bei Sondervermögen sind nur die Zuführungen oder die Ablieferungen im Haushaltsplan zu veranschlagen. Über die Einnahmen, Ausgaben und Verpflichtungsermächtigungen der Sondervermögen sind Übersichten dem Haushaltsplan als Anlagen beizufügen oder in die Erläuterungen aufzunehmen.</w:t>
      </w:r>
    </w:p>
    <w:p>
      <w:r>
        <w:rPr>
          <w:color w:val="555555"/>
          <w:sz w:val="17"/>
        </w:rPr>
        <w:t xml:space="preserve">Zitiervorschlag: § 18 HGrG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https://recht.nulegal.eu/gesetze/HGrG/18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