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HGrG — Übertragbarkeit, Deckungsfähigkeit</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Ausgaben für Investitionen und Ausgaben aus zweckgebundenen Einnahmen sind übertragbar. Andere Ausgaben können im Haushaltsplan für übertragbar erklärt werden, wenn dies ihre wirtschaftliche und sparsame Verwendung fördert.</w:t>
      </w:r>
    </w:p>
    <w:p>
      <w:r>
        <w:t xml:space="preserve">(2) Absatz 1 gilt bei doppisch basierten Haushalten für Auszahlungen entsprechend. Bei doppisch basierten Haushalten können außerdem Rücklagen nach § 7a gebildet werden. Die Bildung und Inanspruchnahme von Rücklagen, abgesehen von Sonderposten mit Rücklagenanteil, bedarf der haushaltsrechtlichen Ermächtigung.</w:t>
      </w:r>
    </w:p>
    <w:p>
      <w:r>
        <w:t xml:space="preserve">(3) Im Haushaltsplan können Ausgaben und Verpflichtungsermächtigungen jeweils für gegenseitig oder einseitig deckungsfähig erklärt werden, wenn ein verwaltungsmäßiger oder sachlicher Zusammenhang besteht oder eine wirtschaftliche und sparsame Verwendung gefördert wird. Ausgaben und Verpflichtungsermächtigungen, die ohne nähere Angabe des Verwendungszweckes veranschlagt sind, dürfen nicht für deckungsfähig erklärt werden.</w:t>
      </w:r>
    </w:p>
    <w:p>
      <w:r>
        <w:rPr>
          <w:color w:val="555555"/>
          <w:sz w:val="17"/>
        </w:rPr>
        <w:t xml:space="preserve">Zitiervorschlag: § 15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