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95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257 Absatz 4 des Handelsgesetzbuchs in der ab dem 1. Januar 2025 geltenden Fassung ist vorbehaltlich des Satzes 2 erstmals auf Unterlagen anzuwenden, deren Aufbewahrungsfrist nach § 257 Absatz 4 des Handelsgesetzbuchs in der bis einschließlich 31. Dezember 2024 geltenden Fassung noch nicht abgelaufen ist. Abweichend von Satz 1 ist bei Personen oder Gesellschaften, die</w:t>
      </w:r>
    </w:p>
    <w:p>
      <w:pPr>
        <w:ind w:left="420"/>
      </w:pPr>
      <w:r>
        <w:t xml:space="preserve">1. Institute im Sinne des § 1 Absatz 1b des Kreditwesengesetzes sind, einschließlich Zweigstellen nach § 53 des Kreditwesengesetzes,</w:t>
      </w:r>
    </w:p>
    <w:p>
      <w:pPr>
        <w:ind w:left="420"/>
      </w:pPr>
      <w:r>
        <w:t xml:space="preserve">2. der Aufsicht nach § 1 Absatz 1 des Versicherungsaufsichtsgesetzes unterliegen oder</w:t>
      </w:r>
    </w:p>
    <w:p>
      <w:pPr>
        <w:ind w:left="420"/>
      </w:pPr>
      <w:r>
        <w:t xml:space="preserve">3. Wertpapierinstitute im Sinne des § 2 Absatz 1 des Wertpapierinstitutsgesetzes sind,</w:t>
      </w:r>
    </w:p>
    <w:p>
      <w:r>
        <w:t xml:space="preserve">§ 257 Absatz 4 des Handelsgesetzbuchs in der ab dem 1. Januar 2025 geltenden Fassung erstmals auf Unterlagen anzuwenden, deren Aufbewahrungsfrist nach § 257 Absatz 4 des Handelsgesetzbuchs in der bis einschließlich 31. Dezember 2024 geltenden Fassung am 1. Januar 2026 noch nicht abgelaufen ist.</w:t>
      </w:r>
    </w:p>
    <w:p>
      <w:r>
        <w:rPr>
          <w:color w:val="555555"/>
          <w:sz w:val="17"/>
        </w:rPr>
        <w:t xml:space="preserve">Zitiervorschlag: Art 95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https://recht.nulegal.eu/gesetze/HGBEG/95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95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