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83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20.08.2020 (konsolidierte Textfassung, kein amtliches Inkrafttretensdatum)</w:t>
      </w:r>
    </w:p>
    <w:p>
      <w:r>
        <w:t xml:space="preserve">(1) Die §§ 285, 286, 289a, 289f, 314, 315a, 324 und 325 Absatz 2a des Handelsgesetzbuchs in der ab dem 1. Januar 2020 geltenden Fassung sind erstmals auf Jahres- und Konzernabschlüsse sowie Lage- und Konzernlageberichte für das nach dem 31. Dezember 2020 beginnende Geschäftsjahr anzuwenden. Die in Satz 1 bezeichneten Vorschriften in der bis einschließlich 31. Dezember 2019 geltenden Fassung sind letztmals anzuwenden auf Jahres- und Konzernabschlüsse sowie Lage- und Konzernlageberichte für das vor dem 1. Januar 2021 beginnende Geschäftsjahr. Wurde für das in Satz 2 bezeichnete Geschäftsjahr oder für ein diesem vorausgehendes Geschäftsjahr bereits ein Vergütungsbericht nach § 162 des Aktiengesetzes erstellt, so sind für dieses Geschäftsjahr nicht die in Satz 2 bezeichneten Vorschriften, sondern die in Satz 1 bezeichneten Vorschriften anzuwenden.</w:t>
      </w:r>
    </w:p>
    <w:p>
      <w:r>
        <w:t xml:space="preserve">(2) § 340i Absatz 6 und § 341j Absatz 5 des Handelsgesetzbuchs in der ab dem 1. Januar 2020 geltenden Fassung sind erstmals auf Konzernerklärungen zur Unternehmensführung für das nach dem 31. Dezember 2018 beginnende Geschäftsjahr anzuwenden. Die in Satz 1 bezeichneten Vorschriften können bereits auf Konzernerklärungen zur Unternehmensführung für die nach dem 31. Dezember 2016 beginnenden Geschäftsjahre angewendet werden.</w:t>
      </w:r>
    </w:p>
    <w:p>
      <w:r>
        <w:rPr>
          <w:color w:val="555555"/>
          <w:sz w:val="17"/>
        </w:rPr>
        <w:t xml:space="preserve">Zitiervorschlag: Art 83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