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82 HGBEG</w:t>
      </w:r>
    </w:p>
    <w:p>
      <w:r>
        <w:rPr>
          <w:color w:val="555555"/>
          <w:sz w:val="18"/>
        </w:rPr>
        <w:t xml:space="preserve">Einführungsgesetz zum 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339 Absatz 3 des Handelsgesetzbuchs in der Fassung des Gesetzes zum Bürokratieabbau und zur Förderung der Transparenz bei Genossenschaften vom 17. Juli 2017 (BGBl. I S. 2434) ist erstmals anzuwenden auf Jahresabschlüsse für nach dem 31. Dezember 2016 beginnende Geschäftsjahre. Ein Prüfungsverband kann einen Antrag im Sinne des § 339 Absatz 3 Satz 1 auch im Hinblick auf vor dem 31. Dezember 2016 begonnene Geschäftsjahre stellen.</w:t>
      </w:r>
    </w:p>
    <w:p>
      <w:r>
        <w:rPr>
          <w:color w:val="555555"/>
          <w:sz w:val="17"/>
        </w:rPr>
        <w:t xml:space="preserve">Zitiervorschlag: Art 82 HGBEG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https://recht.nulegal.eu/gesetze/HGBEG/82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