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69 HGBEG</w:t>
      </w:r>
    </w:p>
    <w:p>
      <w:r>
        <w:rPr>
          <w:color w:val="555555"/>
          <w:sz w:val="18"/>
        </w:rPr>
        <w:t xml:space="preserve">Einführungsgesetz zum 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341c des Handelsgesetzbuchs in der Fassung des Gesetzes zur Umsetzung der geänderten Bankenrichtlinie und der geänderten Kapitaladäquanzrichtlinie ist erstmals auf Jahres- und Konzernabschlüsse für nach dem 31. Dezember 2010 beginnende Geschäftsjahre anzuwenden.</w:t>
      </w:r>
    </w:p>
    <w:p>
      <w:r>
        <w:t xml:space="preserve">(2) § 341c des Handelsgesetzbuchs in der bis zum 24. November 2010 geltenden Fassung ist letztmals auf Jahres- und Konzernabschlüsse für vor dem 1. Januar 2011 beginnende Geschäftsjahre anzuwenden.</w:t>
      </w:r>
    </w:p>
    <w:p>
      <w:r>
        <w:rPr>
          <w:color w:val="555555"/>
          <w:sz w:val="17"/>
        </w:rPr>
        <w:t xml:space="preserve">Zitiervorschlag: Art 69 HGBEG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https://recht.nulegal.eu/gesetze/HGBEG/69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