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55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regelmäßige Verjährungsfrist nach § 195 des Bürgerlichen Gesetzbuchs findet auf die am 1. Januar 2004 bestehenden und noch nicht verjährten Ansprüche nach § 323 des Handelsgesetzbuchs Anwendung.</w:t>
      </w:r>
    </w:p>
    <w:p>
      <w:r>
        <w:t xml:space="preserve">(2) Die regelmäßige Verjährungsfrist nach § 195 des Bürgerlichen Gesetzbuchs wird vom 1. Januar 2004 an berechnet. Läuft jedoch die verjährungsfrist nach dem bis zum 31. Dezember 2003 geltenden § 323 Abs. 5 des Handelsgesetzbuchs früher als die Verjährungsfrist nach § 195 des Bürgerlichen Gesetzbuchs ab, so ist die Verjährung mit Ablauf der in § 323 Abs. 5 des Handelsgesetzbuchs in der bis zum 31. Dezember 2003 geltenden Fassung bestimmten Verjährungsfrist vollendet.</w:t>
      </w:r>
    </w:p>
    <w:p>
      <w:r>
        <w:rPr>
          <w:color w:val="555555"/>
          <w:sz w:val="17"/>
        </w:rPr>
        <w:t xml:space="preserve">Zitiervorschlag: Art 55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https://recht.nulegal.eu/gesetze/HGBEG/55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55 HGBEG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