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48 HGBEG</w:t>
      </w:r>
    </w:p>
    <w:p>
      <w:r>
        <w:rPr>
          <w:color w:val="555555"/>
          <w:sz w:val="18"/>
        </w:rPr>
        <w:t xml:space="preserve">Einführungsgesetz zum Handelsgesetzbuch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Bestimmungen des zweiten Abschnitts des Dritten Buchs des Handelsgesetzbuchs in der vom 9. März 2000 an geltenden Fassung sind von offenen Handelsgesellschaften und Kommanditgesellschaften im Sinne des § 264a des Handelsgesetzbuchs erstmals auf Jahresabschlüsse und Lageberichte sowie auf Konzernabschlüsse und Konzernlageberichte für das nach dem 31. Dezember 1999 beginnende Geschäftsjahr anzuwenden; sie können auf ein früheres Geschäftsjahr angewendet werden, jedoch nur insgesamt. § 264 Abs. 4, §§ 267, 292a Abs. 1, § 313 Abs. 2 Nr. 4 Satz 2, § 314 Abs. 1 Nr. 6 Buchstabe a Satz 1, § 325 Abs. 1 Satz 1, Abs. 3 Satz 1, § 326 Satz 1, §§ 335a, 335b, 339 Abs. 1 Satz 1, Abs. 2, §§ 340o und 341o des Handelsgesetzbuchs in der vom 9. März 2000 an geltenden Fassung sind vorbehaltlich des Satzes 1 erstmals auf Jahres- und Konzernabschlüsse für das nach dem 31. Dezember 1998 beginnende Geschäftsjahr anzuwenden. § 335 des Handelsgesetzbuchs in der bis zum 8. März 2000 geltenden Fassung ist letztmals zur Durchsetzung der in Satz 1 dieser Vorschrift bezeichneten Pflichten anzuwenden, soweit sie ein Geschäftsjahr betreffen, das vor dem 1. Januar 1999 begonnen hat.</w:t>
      </w:r>
    </w:p>
    <w:p>
      <w:r>
        <w:t xml:space="preserve">(2) Waren Vermögensgegenstände des Anlagevermögens im Jahresabschluss für das am 31. Dezember 1999 endende oder laufende Geschäftsjahr mit einem niedrigeren Wert angesetzt, als nach § 240 Abs. 3 und 4, §§ 252, 253 Abs. 1, 2 und 4, §§ 254, 255, 279 und 280 Abs. 1 und 2 des Handelsgesetzbuchs zulässig ist, so darf der niedrigere Wertansatz beibehalten werden. § 253 Abs. 2 des Handelsgesetzbuchs ist in diesen Fällen mit der Maßgabe anzuwenden, dass der niedrigere Wertansatz um planmäßige Abschreibungen entsprechend der voraussichtlichen Restnutzungsdauer zu vermindern ist.</w:t>
      </w:r>
    </w:p>
    <w:p>
      <w:r>
        <w:t xml:space="preserve">(3) Waren Vermögensgegenstände des Umlaufvermögens im Jahresabschluss für das am 31. Dezember 1999 endende oder laufende Geschäftsjahr mit einem niedrigeren Wert angesetzt, als er nach § 252, 253 Abs. 1, 3 und 4, §§ 254, 255 Abs. 1 und 2, §§ 256, 279 Abs. 1 Satz 1, Abs. 2, § 280 Abs. 1 und 2 des Handelsgesetzbuchs zulässig ist, so darf der niedrigere Wertansatz insoweit beibehalten werden, als er aus den Gründen des § 253 Abs. 3, §§ 254, 279 Abs. 2, § 280 Abs. 2 des Handelsgesetzbuchs angesetzt worden ist.</w:t>
      </w:r>
    </w:p>
    <w:p>
      <w:r>
        <w:t xml:space="preserve">(4) Ändern sich bei der erstmaligen Anwendung der durch die Artikel 1 und 5 des Kapitalgesellschaften- und Co-Richtlinie-Gesetzes geänderten Vorschriften auf eine Personenhandelsgesellschaft im Sinne des § 264a des Handelsgesetzbuchs die bisherige Form der Darstellung oder die bisher angewandten Bewertungsmethoden, so sind § 252 Abs. 1 Nr. 6, § 265 Abs. 1, § 284 Abs. 2 Nr. 3 des Handelsgesetzbuchs bei der erstmaligen Aufstellung eines Jahresabschlusses nach den geänderten Vorschriften nicht anzuwenden. Außerdem brauchen die Vorjahreszahlen bei der erstmaligen Anwendung nicht angegeben zu werden.</w:t>
      </w:r>
    </w:p>
    <w:p>
      <w:r>
        <w:t xml:space="preserve">(5) Sind bei der erstmaligen Anwendung des § 268 Abs. 2 des Handelsgesetzbuchs über die Darstellung der Entwicklung des Anlagevermögens die Anschaffungs- oder Herstellungskosten eines Vermögensgegenstandes des Anlagevermögens nicht ohne unverhältnismäßige Kosten oder Verzögerungen feststellbar, so dürfen die Buchwerte dieser Vermögensgegenstände aus dem Jahresabschluss des vorhergehenden Geschäftsjahrs als ursprüngliche Anschaffungs- oder Herstellungskosten übernommen und fortgeführt werden. Satz 1 darf entsprechend auf die Darstellung des Postens "Aufwendungen für die Ingangsetzung und Erweiterung des Geschäftsbetriebs" angewendet werden. Die Anwendung der Sätze 1 und 2 ist im Anhang anzugeben. Die Sätze 1 und 2 sind nicht anzuwenden, soweit aus Gründen des Steuerrechts die Anschaffungs- oder Herstellungskosten ermittelt werden müssen.</w:t>
      </w:r>
    </w:p>
    <w:p>
      <w:r>
        <w:t xml:space="preserve">(6) Personenhandelsgesellschaften im Sinne des § 264a des Handelsgesetzbuchs haben bei Anwendung des Artikels 28 Abs. 1 die in Artikel 28 Abs. 2 vorgeschriebenen Angaben erstmals für das nach dem 31. Dezember 1999 beginnende Geschäftsjahr zu machen.</w:t>
      </w:r>
    </w:p>
    <w:p>
      <w:r>
        <w:rPr>
          <w:color w:val="555555"/>
          <w:sz w:val="17"/>
        </w:rPr>
        <w:t xml:space="preserve">Zitiervorschlag: Art 48 HGBEG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https://recht.nulegal.eu/gesetze/HGBEG/48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