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46 HGBEG</w:t>
      </w:r>
    </w:p>
    <w:p>
      <w:r>
        <w:rPr>
          <w:color w:val="555555"/>
          <w:sz w:val="18"/>
        </w:rPr>
        <w:t xml:space="preserve">Einführungsgesetz zum Handelsgesetzbuch</w:t>
      </w:r>
    </w:p>
    <w:p>
      <w:r>
        <w:rPr>
          <w:color w:val="555555"/>
          <w:sz w:val="18"/>
        </w:rPr>
        <w:t xml:space="preserve">Stand: 10.06.2019 (konsolidierte Textfassung, kein amtliches Inkrafttretensdatum)</w:t>
      </w:r>
    </w:p>
    <w:p>
      <w:r>
        <w:t xml:space="preserve">(1) Die §§ 285, 289, 297, 315, 317, 321, 322, 340a und 341k des Handelsgesetzbuchs in der Fassung des Gesetzes zur Kontrolle und Transparenz im Unternehmensbereich sind spätestens auf das nach dem 31. Dezember 1998 beginnende Geschäftsjahr anzuwenden. § 323 des Handelsgesetzbuchs in der Fassung des in Satz 1 genannten Gesetzes ist erstmals auf die Prüfung des Abschlusses für das nach dem 31. Dezember 1998 beginnende Geschäftsjahr anzuwenden.</w:t>
      </w:r>
    </w:p>
    <w:p>
      <w:r>
        <w:t xml:space="preserve">(2) § 319 des Handelsgesetzbuchs in der Fassung des in Absatz 1 Satz 1 genannten Gesetzes ist erstmals auf das nach dem 31. Dezember 2001 beginnende Geschäftsjahr anzuwenden.</w:t>
      </w:r>
    </w:p>
    <w:p>
      <w:r>
        <w:t xml:space="preserve">(3) Sind die neuen Vorschriften nach den Absätzen 1 und 2 auf ein früheres Geschäftsjahr nicht anzuwenden und werden die neuen Vorschriften nach Absatz 1 Satz 1 nicht freiwillig angewendet, so ist für das Geschäftsjahr die am 30. April 1998 geltende Fassung der geänderten Vorschriften anzuwenden.</w:t>
      </w:r>
    </w:p>
    <w:p>
      <w:r>
        <w:rPr>
          <w:color w:val="555555"/>
          <w:sz w:val="17"/>
        </w:rPr>
        <w:t xml:space="preserve">Zitiervorschlag: Art 46 HGBEG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https://recht.nulegal.eu/gesetze/HGBEG/46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46 HGBEG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