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44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Die Aufwendungen für die Währungsumstellung auf den Euro dürfen als Bilanzierungshilfe aktiviert werden, soweit es sich um selbstgeschaffene immaterielle Vermögensgegenstände des Anlagevermögens handelt. Der Posten ist in der Bilanz unter der Bezeichnung "Aufwendungen für die Währungsumstellung auf den Euro" vor dem Anlagevermögen auszuweisen. Die als Bilanzierungshilfe ausgewiesenen Beträge sind in jedem folgenden Geschäftsjahr zu mindestens einem Viertel durch Abschreibung zu tilgen. Im Jahresabschluß von Kapitalgesellschaften ist der Posten im Anhang zu erläutern. Werden solche Aufwendungen in der Bilanz von Kapitalgesellschaften ausgewiesen, so dürfen Gewinne nur ausgeschüttet werden, wenn die nach der Ausschüttung verbleibenden jederzeit auflösbaren Gewinnrücklagen zuzüglich eines Gewinnvortrags und abzüglich eines Verlustvortrags dem angesetzten Betrag mindestens entsprechen.</w:t>
      </w:r>
    </w:p>
    <w:p>
      <w:r>
        <w:t xml:space="preserve">(2) Absatz 1 ist erstmals auf das nach dem 31. Dezember 1997 endende Geschäftsjahr anzuwenden.</w:t>
      </w:r>
    </w:p>
    <w:p>
      <w:r>
        <w:rPr>
          <w:color w:val="555555"/>
          <w:sz w:val="17"/>
        </w:rPr>
        <w:t xml:space="preserve">Zitiervorschlag: Art 44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44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