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43 HGBEG</w:t>
      </w:r>
    </w:p>
    <w:p>
      <w:r>
        <w:rPr>
          <w:color w:val="555555"/>
          <w:sz w:val="18"/>
        </w:rPr>
        <w:t xml:space="preserve">Einführungsgesetz zum Handelsgesetzbuch</w:t>
      </w:r>
    </w:p>
    <w:p>
      <w:r>
        <w:rPr>
          <w:color w:val="555555"/>
          <w:sz w:val="18"/>
        </w:rPr>
        <w:t xml:space="preserve">Stand: 10.06.2019 (konsolidierte Textfassung, kein amtliches Inkrafttretensdatum)</w:t>
      </w:r>
    </w:p>
    <w:p>
      <w:r>
        <w:t xml:space="preserve">(1) Ausleihungen, Forderungen und Verbindlichkeiten, die auf Währungseinheiten der an der Wirtschafts- und Währungsunion teilnehmenden anderen Mitgliedstaaten oder auf die ECU im Sinne des Artikels 2 der Verordnung (EG) Nr. 1103/97 des Rates vom 17. Juni 1997 (ABl. EG Nr. L 162 S. 1) lauten, sind zum nächsten auf den 31. Dezember 1998 folgenden Stichtag im Jahresabschluß und im Konzernabschluß mit dem vom Rat der Europäischen Union gemäß Artikel 109l Abs. 4 Satz 1 des EG-Vertrages unwiderruflich festgelegten Umrechnungskurs umzurechnen und anzusetzen. Erträge, die sich aus der Umrechnung und dem entsprechenden Bilanzansatz ergeben, dürfen auf der Passivseite in einen gesonderten Posten unter der Bezeichnung "Sonderposten aus der Währungsumstellung auf den Euro" nach dem Eigenkapital eingestellt werden. Der Posten ist insoweit aufzulösen, als die Ausleihungen, Forderungen und Verbindlichkeiten, für die er gebildet worden ist, aus dem Vermögen des Unternehmens ausscheiden, spätestens jedoch am Schluß des fünften nach dem 31. Dezember 1998 endenden Geschäftsjahres.</w:t>
      </w:r>
    </w:p>
    <w:p>
      <w:r>
        <w:t xml:space="preserve">(2) In den Sonderposten gemäß Absatz 1 Satz 2 dürfen auch Erträge eingestellt werden, die sich aus der Aktivierung von Vermögensgegenständen aufgrund der unwiderruflichen Festlegung der Wechselkurse ergeben. Absatz 1 Satz 3 gilt entsprechend.</w:t>
      </w:r>
    </w:p>
    <w:p>
      <w:r>
        <w:rPr>
          <w:color w:val="555555"/>
          <w:sz w:val="17"/>
        </w:rPr>
        <w:t xml:space="preserve">Zitiervorschlag: Art 43 HGBEG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https://recht.nulegal.eu/gesetze/HGBEG/43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43 HGBEG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