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Die §§ 244, 284 Abs. 2 Nr. 2, § 292a Abs. 1 Satz 1, § 313 Abs. 1 Nr. 2 und § 340h Abs. 1 Satz 1 und 2 des Handelsgesetzbuchs in der ab 1. Januar 1999 geltenden Fassung sind erstmals auf das nach dem 31. Dezember 1998 endende Geschäftsjahr anzuwenden. Der Jahres- und Konzernabschluß darf auch in Deutscher Mark aufgestellt werden, letztmals für das im Jahre 2001 endende Geschäftsjahr. Sofern der Jahresabschluß und der Konzernabschluß nach Satz 2 in Deutscher Mark aufgestellt werden, sind auch die nach § 284 Abs. 2 Nr. 2, § 292a Abs. 1 Satz 1, § 313 Abs. 1 Nr. 2 sowie § 340h Abs. 1 Satz 1 und 2 vorgeschriebenen Angaben weiterhin in Deutscher Mark zu machen. § 328 Abs. 4 des Handelsgesetzbuchs ist letztmals auf das spätestens am 31. Dezember 1998 endende Geschäftsjahr anzuwenden.</w:t>
      </w:r>
    </w:p>
    <w:p>
      <w:r>
        <w:t xml:space="preserve">(2) Werden der Jahresabschluß und der Konzernabschluß in Euro aufgestellt, ist § 265 Abs. 2 des Handelsgesetzbuchs mit der Maßgabe anzuwenden, daß zu jedem Posten der entsprechende Betrag des vorhergehenden Geschäftsjahres in Euro anzugeben ist. Die Umrechnung hat insoweit auch für ein Geschäftsjahr, das vor dem 1. Januar 1999 endet, zu dem vom Rat der Europäischen Union gemäß Artikel 109l Abs. 4 Satz 1 des EG-Vertrages unwiderruflich festgelegten Umrechnungskurs zu erfolgen. Satz 2 gilt entsprechend für die Darstellung der Entwicklung der einzelnen Posten des Anlagevermögens und des Postens "Aufwendungen für die Ingangsetzung und Erweiterung des Geschäftsbetriebs" in der Bilanz oder im Anhang nach § 268 Abs. 2 des Handelsgesetzbuchs.</w:t>
      </w:r>
    </w:p>
    <w:p>
      <w:r>
        <w:t xml:space="preserve">(3) Stellen Unternehmen vor Umstellung ihres gezeichneten Kapitals auf Euro den Jahres- und Konzernabschluß in Euro auf, darf das gezeichnete Kapital in der Vorspalte der Bilanz weiterhin in Deutscher Mark ausgewiesen werden, sofern der sich in Euro ergebende Betrag in der Hauptspalte ausgewiesen wird. Stellen Unternehmen den Jahres- und Konzernabschluß nach Umstellung ihres gezeichneten Kapitals auf Euro in Deutscher Mark auf, darf das gezeichnete Kapital in der Vorspalte in Euro ausgewiesen werden, sofern der sich in Deutscher Mark ergebende Betrag in der Hauptspalte ausgewiesen wird. Statt des Ausweises in der Vorspalte darf das gezeichnete Kapital auch im Anhang angegeben werden.</w:t>
      </w:r>
    </w:p>
    <w:p>
      <w:r>
        <w:rPr>
          <w:color w:val="555555"/>
          <w:sz w:val="17"/>
        </w:rPr>
        <w:t xml:space="preserve">Zitiervorschlag: Art 42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