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35 HGBEG</w:t>
      </w:r>
    </w:p>
    <w:p>
      <w:r>
        <w:rPr>
          <w:color w:val="555555"/>
          <w:sz w:val="18"/>
        </w:rPr>
        <w:t xml:space="preserve">Einführungsgesetz zum 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160 des Handelsgesetzbuches in der ab dem 26. März 1994 geltenden Fassung ist auf vor diesem Datum entstandene Verbindlichkeiten anzuwenden, wenn</w:t>
      </w:r>
    </w:p>
    <w:p>
      <w:pPr>
        <w:ind w:left="420"/>
      </w:pPr>
      <w:r>
        <w:t xml:space="preserve">1. das Ausscheiden des Gesellschafters oder sein Wechsel in die Rechtsstellung eines Kommanditisten nach dem 26. März 1994 in das Handelsregister eingetragen wird und</w:t>
      </w:r>
    </w:p>
    <w:p>
      <w:pPr>
        <w:ind w:left="420"/>
      </w:pPr>
      <w:r>
        <w:t xml:space="preserve">2. die Verbindlichkeiten nicht später als vier Jahre nach der Eintragung fällig werden.</w:t>
      </w:r>
    </w:p>
    <w:p>
      <w:r>
        <w:t xml:space="preserve">Auf später fällig werdende Verbindlichkeiten im Sinne des Satzes 1 ist das bisher geltende Recht mit der Maßgabe anwendbar, daß die Verjährungsfrist ein Jahr beträgt.</w:t>
      </w:r>
    </w:p>
    <w:p>
      <w:r>
        <w:rPr>
          <w:color w:val="555555"/>
          <w:sz w:val="17"/>
        </w:rPr>
        <w:t xml:space="preserve">Zitiervorschlag: Art 35 HGBEG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https://recht.nulegal.eu/gesetze/HGBEG/35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