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29a HGBEG</w:t>
      </w:r>
    </w:p>
    <w:p>
      <w:r>
        <w:rPr>
          <w:color w:val="555555"/>
          <w:sz w:val="18"/>
        </w:rPr>
        <w:t xml:space="preserve">Einführungsgesetz zum Handelsgesetzbuch</w:t>
      </w:r>
    </w:p>
    <w:p>
      <w:r>
        <w:rPr>
          <w:color w:val="555555"/>
          <w:sz w:val="18"/>
        </w:rPr>
        <w:t xml:space="preserve">Stand: 10.06.2019 (konsolidierte Textfassung, kein amtliches Inkrafttretensdatum)</w:t>
      </w:r>
    </w:p>
    <w:p>
      <w:r>
        <w:t xml:space="preserve">§ 90a Abs. 2 und 3 des Handelsgesetzbuches in der ab dem 1. Juli 1998 geltenden Fassung ist auch auf Ansprüche aus vor dem 1. Juli 1998 begründeten Handelsvertretervertragsverhältnissen anzuwenden, über die noch nicht rechtskräftig entschieden worden ist.</w:t>
      </w:r>
    </w:p>
    <w:p>
      <w:r>
        <w:rPr>
          <w:color w:val="555555"/>
          <w:sz w:val="17"/>
        </w:rPr>
        <w:t xml:space="preserve">Zitiervorschlag: Art 29a HGBEG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https://recht.nulegal.eu/gesetze/HGBEG/29a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