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HGBEG</w:t>
      </w:r>
    </w:p>
    <w:p>
      <w:r>
        <w:rPr>
          <w:color w:val="555555"/>
          <w:sz w:val="18"/>
        </w:rPr>
        <w:t xml:space="preserve">Einführungsgesetz zum 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Handelssachen kommen die Vorschriften des Bürgerlichen Gesetzbuchs nur insoweit zur Anwendung, als nicht im Handelsgesetzbuch oder in diesem Gesetz ein anderes bestimmt ist.</w:t>
      </w:r>
    </w:p>
    <w:p>
      <w:r>
        <w:t xml:space="preserve">(2) (weggefallen)</w:t>
      </w:r>
    </w:p>
    <w:p>
      <w:r>
        <w:rPr>
          <w:color w:val="555555"/>
          <w:sz w:val="17"/>
        </w:rPr>
        <w:t xml:space="preserve">Zitiervorschlag: Art 2 HGBEG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https://recht.nulegal.eu/gesetze/HGBEG/2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