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Art 1 HGBEG</w:t>
      </w:r>
    </w:p>
    <w:p>
      <w:r>
        <w:rPr>
          <w:color w:val="555555"/>
          <w:sz w:val="18"/>
        </w:rPr>
        <w:t xml:space="preserve">Einführungsgesetz zum Handelsgesetzbuch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Handelsgesetzbuch tritt gleichzeitig mit dem Bürgerlichen Gesetzbuch in Kraft.</w:t>
      </w:r>
    </w:p>
    <w:p>
      <w:r>
        <w:t xml:space="preserve">(2) Der sechste Abschnitt des ersten Buches des Handelsgesetzbuchs tritt mit Ausnahme des § 65 am 1. Januar 1898 in Kraft.</w:t>
      </w:r>
    </w:p>
    <w:p>
      <w:r>
        <w:t xml:space="preserve">(3) (gegenstandslos)</w:t>
      </w:r>
    </w:p>
    <w:p>
      <w:r>
        <w:rPr>
          <w:color w:val="555555"/>
          <w:sz w:val="17"/>
        </w:rPr>
        <w:t xml:space="preserve">Zitiervorschlag: Art 1 HGBEG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https://recht.nulegal.eu/gesetze/HGBEG/1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Art 1 HGBEG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