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9d HGB — Sammelstelle für das zentrale europäische Zugangsportal; Verordnungsermächtigung</w:t>
      </w:r>
    </w:p>
    <w:p>
      <w:r>
        <w:rPr>
          <w:color w:val="555555"/>
          <w:sz w:val="18"/>
        </w:rPr>
        <w:t xml:space="preserve">Handelsgesetzbuch</w:t>
      </w:r>
    </w:p>
    <w:p>
      <w:r>
        <w:rPr>
          <w:color w:val="555555"/>
          <w:sz w:val="18"/>
        </w:rPr>
        <w:t xml:space="preserve">Stand: 10.07.2026 (konsolidierte Textfassung, kein amtliches Inkrafttretensdatum)</w:t>
      </w:r>
    </w:p>
    <w:p>
      <w:r>
        <w:t xml:space="preserve">(1) Die das Unternehmensregister führende Stelle ist Sammelstelle im Sinne des Artikels 2 Nummer 2 der Verordnung (EU) 2023/2859 des Europäischen Parlaments und des Rates vom 13. Dezember 2023 zur Einrichtung eines zentralen europäischen Zugangsportals für den zentralisierten Zugriff auf öffentlich verfügbare, für Finanzdienstleistungen, Kapitalmärkte und Nachhaltigkeit relevante Informationen (ABl. L,2023/2859, 20.12.2023; L, 2024/90097, 12.2.2024), die durch die Richtlinie (EU) 2024/1760 (L, 2024/1760, 5.7.2024) geändert worden ist, für Informationen nach</w:t>
      </w:r>
    </w:p>
    <w:p>
      <w:pPr>
        <w:ind w:left="420"/>
      </w:pPr>
      <w:r>
        <w:t xml:space="preserve">1. § 325 Absatz 1, soweit sie nach § 325 Absatz 1 Satz 3 an das zentrale europäische Zugangsportal zu übermitteln sind,</w:t>
      </w:r>
    </w:p>
    <w:p>
      <w:pPr>
        <w:ind w:left="420"/>
      </w:pPr>
      <w:r>
        <w:t xml:space="preserve">2. § 5 Absatz 1, § 40 Absatz 1, § 41 Absatz 1, § 46 Absatz 2, § 50 Absatz 1, § 51 Absatz 2, § 114 Absatz 1, § 115 Absatz 1 und § 116 Absatz 1 des Wertpapierhandelsgesetzes und</w:t>
      </w:r>
    </w:p>
    <w:p>
      <w:pPr>
        <w:ind w:left="420"/>
      </w:pPr>
      <w:r>
        <w:t xml:space="preserve">3. Artikel 17 Absatz 1 sowie Artikel 19 Absatz 1 der Verordnung (EU) Nr. 596/2014, sofern die Information durch einen Inlandsemittenten (§ 2 Absatz 14 des Wertpapierhandelsgesetzes) veröffentlicht wird.</w:t>
      </w:r>
    </w:p>
    <w:p>
      <w:r>
        <w:t xml:space="preserve">(2) In Bezug auf Informationen, die an die das Unternehmensregister führende Stelle als Sammelstelle zu übermitteln sind, kann das Bundesministerium der Justiz im Einvernehmen mit dem Bundesministerium der Finanzen durch Rechtsverordnung, die nicht der Zustimmung des Bundesrates bedarf, nähere Bestimmungen zu Art, Zeitpunkt und Form der Übermittlung festlegen. Dies umfasst insbesondere die zu verwendenden Dateiformate, anzugebende Metadaten sowie Vorgaben zur Identifizierung und Authentifizierung.</w:t>
      </w:r>
    </w:p>
    <w:p>
      <w:r>
        <w:rPr>
          <w:color w:val="555555"/>
          <w:sz w:val="17"/>
        </w:rPr>
        <w:t xml:space="preserve">Zitiervorschlag: § 9d HGB</w:t>
      </w:r>
    </w:p>
    <w:p>
      <w:r>
        <w:rPr>
          <w:color w:val="555555"/>
          <w:sz w:val="17"/>
        </w:rPr>
        <w:t xml:space="preserve">Quelle: Bundesamt für Justiz, abgerufen 10.07.2026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https://recht.nulegal.eu/gesetze/HGB/9d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