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95 HGB</w:t>
      </w:r>
    </w:p>
    <w:p>
      <w:r>
        <w:rPr>
          <w:color w:val="555555"/>
          <w:sz w:val="18"/>
        </w:rPr>
        <w:t xml:space="preserve">Handelsgesetzbuch</w:t>
      </w:r>
    </w:p>
    <w:p>
      <w:r>
        <w:rPr>
          <w:color w:val="555555"/>
          <w:sz w:val="18"/>
        </w:rPr>
        <w:t xml:space="preserve">Stand: 10.06.2019 (konsolidierte Textfassung, kein amtliches Inkrafttretensdatum)</w:t>
      </w:r>
    </w:p>
    <w:p>
      <w:r>
        <w:t xml:space="preserve">(1) Nimmt eine Partei eine Schlußnote an, in der sich der Handelsmakler die Bezeichnung der anderen Partei vorbehalten hat, so ist sie an das Geschäft mit der Partei, welche ihr nachträglich bezeichnet wird, gebunden, es sei denn, daß gegen diese begründete Einwendungen zu erheben sind.</w:t>
      </w:r>
    </w:p>
    <w:p>
      <w:r>
        <w:t xml:space="preserve">(2) Die Bezeichnung der anderen Partei hat innerhalb der ortsüblichen Frist, in Ermangelung einer solchen innerhalb einer den Umständen nach angemessenen Frist zu erfolgen.</w:t>
      </w:r>
    </w:p>
    <w:p>
      <w:r>
        <w:t xml:space="preserve">(3) Unterbleibt die Bezeichnung oder sind gegen die bezeichnete Person oder Firma begründete Einwendungen zu erheben, so ist die Partei befugt, den Handelsmakler auf die Erfüllung des Geschäfts in Anspruch zu nehmen. Der Anspruch ist ausgeschlossen, wenn sich die Partei auf die Aufforderung des Handelsmaklers nicht unverzüglich darüber erklärt, ob sie Erfüllung verlange.</w:t>
      </w:r>
    </w:p>
    <w:p>
      <w:r>
        <w:rPr>
          <w:color w:val="555555"/>
          <w:sz w:val="17"/>
        </w:rPr>
        <w:t xml:space="preserve">Zitiervorschlag: § 95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