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89a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Das Vertragsverhältnis kann von jedem Teil aus wichtigem Grunde ohne Einhaltung einer Kündigungsfrist gekündigt werden. Dieses Recht kann nicht ausgeschlossen oder beschränkt werden.</w:t>
      </w:r>
    </w:p>
    <w:p>
      <w:r>
        <w:t xml:space="preserve">(2) Wird die Kündigung durch ein Verhalten veranlaßt, das der andere Teil zu vertreten hat, so ist dieser zum Ersatz des durch die Aufhebung des Vertragsverhältnisses entstehenden Schadens verpflichtet.</w:t>
      </w:r>
    </w:p>
    <w:p>
      <w:r>
        <w:rPr>
          <w:color w:val="555555"/>
          <w:sz w:val="17"/>
        </w:rPr>
        <w:t xml:space="preserve">Zitiervorschlag: § 89a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https://recht.nulegal.eu/gesetze/HGB/89a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