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87c HGB</w:t>
      </w:r>
    </w:p>
    <w:p>
      <w:r>
        <w:rPr>
          <w:color w:val="555555"/>
          <w:sz w:val="18"/>
        </w:rPr>
        <w:t xml:space="preserve">Handelsgesetzbuch</w:t>
      </w:r>
    </w:p>
    <w:p>
      <w:r>
        <w:rPr>
          <w:color w:val="555555"/>
          <w:sz w:val="18"/>
        </w:rPr>
        <w:t xml:space="preserve">Stand: 14.10.2023 (konsolidierte Textfassung, kein amtliches Inkrafttretensdatum)</w:t>
      </w:r>
    </w:p>
    <w:p>
      <w:r>
        <w:t xml:space="preserve">(1) Der Unternehmer hat über die Provision, auf die der Handelsvertreter Anspruch hat, monatlich abzurechnen; der Abrechnungszeitraum kann auf höchstens drei Monate erstreckt werden. Die Abrechnung hat unverzüglich, spätestens bis zum Ende des nächsten Monats, zu erfolgen.</w:t>
      </w:r>
    </w:p>
    <w:p>
      <w:r>
        <w:t xml:space="preserve">(2) Der Handelsvertreter kann bei der Abrechnung einen Buchauszug über alle Geschäfte verlangen, für die ihm nach § 87 Provision gebührt.</w:t>
      </w:r>
    </w:p>
    <w:p>
      <w:r>
        <w:t xml:space="preserve">(3) Der Handelsvertreter kann außerdem Mitteilung über alle Umstände verlangen, die für den Provisionsanspruch, seine Fälligkeit und seine Berechnung wesentlich sind.</w:t>
      </w:r>
    </w:p>
    <w:p>
      <w:r>
        <w:t xml:space="preserve">(4) Wird der Buchauszug verweigert oder bestehen begründete Zweifel an der Richtigkeit oder Vollständigkeit der Abrechnung oder des Buchauszuges, so kann der Handelsvertreter verlangen, daß nach Wahl des Unternehmers entweder ihm oder einem von ihm zu bestimmenden Wirtschaftsprüfer oder vereidigten Buchsachverständigen Einsicht in die Geschäftsbücher oder die sonstigen Urkunden so weit gewährt wird, wie dies zur Feststellung der Richtigkeit oder Vollständigkeit der Abrechnung oder des Buchauszuges erforderlich ist.</w:t>
      </w:r>
    </w:p>
    <w:p>
      <w:r>
        <w:t xml:space="preserve">(5) Diese Rechte des Handelsvertreters können nicht ausgeschlossen oder beschränkt werden.</w:t>
      </w:r>
    </w:p>
    <w:p>
      <w:r>
        <w:rPr>
          <w:color w:val="555555"/>
          <w:sz w:val="17"/>
        </w:rPr>
        <w:t xml:space="preserve">Zitiervorschlag: § 87c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