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87b HGB</w:t>
      </w:r>
    </w:p>
    <w:p>
      <w:r>
        <w:rPr>
          <w:color w:val="555555"/>
          <w:sz w:val="18"/>
        </w:rPr>
        <w:t xml:space="preserve">Handelsgesetzbuch</w:t>
      </w:r>
    </w:p>
    <w:p>
      <w:r>
        <w:rPr>
          <w:color w:val="555555"/>
          <w:sz w:val="18"/>
        </w:rPr>
        <w:t xml:space="preserve">Stand: 10.06.2019 (konsolidierte Textfassung, kein amtliches Inkrafttretensdatum)</w:t>
      </w:r>
    </w:p>
    <w:p>
      <w:r>
        <w:t xml:space="preserve">(1) Ist die Höhe der Provision nicht bestimmt, so ist der übliche Satz als vereinbart anzusehen.</w:t>
      </w:r>
    </w:p>
    <w:p>
      <w:r>
        <w:t xml:space="preserve">(2) Die Provision ist von dem Entgelt zu berechnen, das der Dritte oder der Unternehmer zu leisten hat. Nachlässe bei Barzahlung sind nicht abzuziehen; dasselbe gilt für Nebenkosten, namentlich für Fracht, Verpackung, Zoll, Steuern, es sei denn, daß die Nebenkosten dem Dritten besonders in Rechnung gestellt sind. Die Umsatzsteuer, die lediglich auf Grund der steuerrechtlichen Vorschriften in der Rechnung gesondert ausgewiesen ist, gilt nicht als besonders in Rechnung gestellt.</w:t>
      </w:r>
    </w:p>
    <w:p>
      <w:r>
        <w:t xml:space="preserve">(3) Bei Gebrauchsüberlassungs- und Nutzungsverträgen von bestimmter Dauer ist die Provision vom Entgelt für die Vertragsdauer zu berechnen. Bei unbestimmter Dauer ist die Provision vom Entgelt bis zu dem Zeitpunkt zu berechnen, zu dem erstmals von dem Dritten gekündigt werden kann; der Handelsvertreter hat Anspruch auf weitere entsprechend berechnete Provisionen, wenn der Vertrag fortbesteht.</w:t>
      </w:r>
    </w:p>
    <w:p>
      <w:r>
        <w:rPr>
          <w:color w:val="555555"/>
          <w:sz w:val="17"/>
        </w:rPr>
        <w:t xml:space="preserve">Zitiervorschlag: § 87b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https://recht.nulegal.eu/gesetze/HGB/87b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