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86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Handelsvertreter hat sich um die Vermittlung oder den Abschluß von Geschäften zu bemühen; er hat hierbei das Interesse des Unternehmers wahrzunehmen.</w:t>
      </w:r>
    </w:p>
    <w:p>
      <w:r>
        <w:t xml:space="preserve">(2) Er hat dem Unternehmer die erforderlichen Nachrichten zu geben, namentlich ihm von jeder Geschäftsvermittlung und von jedem Geschäftsabschluß unverzüglich Mitteilung zu machen.</w:t>
      </w:r>
    </w:p>
    <w:p>
      <w:r>
        <w:t xml:space="preserve">(3) Er hat seine Pflichten mit der Sorgfalt eines ordentlichen Kaufmanns wahrzunehmen.</w:t>
      </w:r>
    </w:p>
    <w:p>
      <w:r>
        <w:t xml:space="preserve">(4) Von den Absätzen 1 und 2 abweichende Vereinbarungen sind unwirksam.</w:t>
      </w:r>
    </w:p>
    <w:p>
      <w:r>
        <w:rPr>
          <w:color w:val="555555"/>
          <w:sz w:val="17"/>
        </w:rPr>
        <w:t xml:space="preserve">Zitiervorschlag: § 86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