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83 HGB</w:t>
      </w:r>
    </w:p>
    <w:p>
      <w:r>
        <w:rPr>
          <w:color w:val="555555"/>
          <w:sz w:val="18"/>
        </w:rPr>
        <w:t xml:space="preserve">Handelsgesetzbuch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Hinsichtlich der Personen, welche in dem Betrieb eines Handelsgewerbes andere als kaufmännische Dienste leisten, bewendet es bei den für das Arbeitsverhältnis dieser Personen geltenden Vorschriften.</w:t>
      </w:r>
    </w:p>
    <w:p>
      <w:r>
        <w:rPr>
          <w:color w:val="555555"/>
          <w:sz w:val="17"/>
        </w:rPr>
        <w:t xml:space="preserve">Zitiervorschlag: § 83 HGB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https://recht.nulegal.eu/gesetze/HGB/83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