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HGB</w:t>
      </w:r>
    </w:p>
    <w:p>
      <w:r>
        <w:rPr>
          <w:color w:val="555555"/>
          <w:sz w:val="18"/>
        </w:rPr>
        <w:t xml:space="preserve">Handelsgesetzbuch</w:t>
      </w:r>
    </w:p>
    <w:p>
      <w:r>
        <w:rPr>
          <w:color w:val="555555"/>
          <w:sz w:val="18"/>
        </w:rPr>
        <w:t xml:space="preserve">Stand: 10.06.2019 (konsolidierte Textfassung, kein amtliches Inkrafttretensdatum)</w:t>
      </w:r>
    </w:p>
    <w:p>
      <w:r>
        <w:t xml:space="preserve">Durch die Vorschriften des öffentlichen Rechtes, nach welchen die Befugnis zum Gewerbebetrieb ausgeschlossen oder von gewissen Voraussetzungen abhängig gemacht ist, wird die Anwendung der die Kaufleute betreffenden Vorschriften dieses Gesetzbuchs nicht berührt.</w:t>
      </w:r>
    </w:p>
    <w:p>
      <w:r>
        <w:rPr>
          <w:color w:val="555555"/>
          <w:sz w:val="17"/>
        </w:rPr>
        <w:t xml:space="preserve">Zitiervorschlag: § 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