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65 HGB</w:t>
      </w:r>
    </w:p>
    <w:p>
      <w:r>
        <w:rPr>
          <w:color w:val="555555"/>
          <w:sz w:val="18"/>
        </w:rPr>
        <w:t xml:space="preserve">Handelsgesetzbuch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Ist bedungen, daß der Handlungsgehilfe für Geschäfte, die von ihm geschlossen oder vermittelt werden, Provision erhalten solle, so sind die für die Handelsvertreter geltenden Vorschriften des § 87 Abs. 1 und 3 sowie der §§ 87a bis 87c anzuwenden.</w:t>
      </w:r>
    </w:p>
    <w:p>
      <w:r>
        <w:rPr>
          <w:color w:val="555555"/>
          <w:sz w:val="17"/>
        </w:rPr>
        <w:t xml:space="preserve">Zitiervorschlag: § 65 HGB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https://recht.nulegal.eu/gesetze/HGB/65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