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617 HGB — Verfahren der Haftungsbeschränkung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Errichtung und Verteilung eines Fonds im Sinne des Artikels 11 des Haftungsbeschränkungsübereinkommens (§ 611 Absatz 1 Satz 1) oder im Sinne des Artikels V Absatz 3 des Haftungsübereinkommens von 1992 (§ 611 Absatz 2) bestimmt sich nach den Vorschriften der Schifffahrtsrechtlichen Verteilungsordnung.</w:t>
      </w:r>
    </w:p>
    <w:p>
      <w:r>
        <w:t xml:space="preserve">(2) Die Beschränkung der Haftung nach dem Haftungsbeschränkungsübereinkommen kann auch dann geltend gemacht werden, wenn ein Fonds im Sinne des Artikels 11 des Haftungsbeschränkungsübereinkommens nicht errichtet worden ist. § 305a der Zivilprozessordnung bleibt unberührt.</w:t>
      </w:r>
    </w:p>
    <w:p>
      <w:r>
        <w:rPr>
          <w:color w:val="555555"/>
          <w:sz w:val="17"/>
        </w:rPr>
        <w:t xml:space="preserve">Zitiervorschlag: § 617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https://recht.nulegal.eu/gesetze/HGB/617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