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616 HGB — Wegfall der Haftungsbeschränkung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der Schuldner eine juristische Person oder eine Personenhandelsgesellschaft, so kann er seine Haftung nicht beschränken, wenn</w:t>
      </w:r>
    </w:p>
    <w:p>
      <w:pPr>
        <w:ind w:left="420"/>
      </w:pPr>
      <w:r>
        <w:t xml:space="preserve">1. der Schaden auf eine Handlung oder Unterlassung eines Mitglieds des zur Vertretung berechtigten Organs oder eines zur Vertretung berechtigten Gesellschafters zurückzuführen ist und</w:t>
      </w:r>
    </w:p>
    <w:p>
      <w:pPr>
        <w:ind w:left="420"/>
      </w:pPr>
      <w:r>
        <w:t xml:space="preserve">2. durch eine solche Handlung oder Unterlassung die Beschränkung der Haftung nach Artikel 4 des Haftungsbeschränkungsübereinkommens (§ 611 Absatz 1 Satz 1) oder nach Artikel V Absatz 2 des Haftungsübereinkommens von 1992 (§ 611 Absatz 2) ausgeschlossen ist.</w:t>
      </w:r>
    </w:p>
    <w:p>
      <w:r>
        <w:t xml:space="preserve">Gleiches gilt, wenn der Schuldner ein Mitreeder ist und der Schaden auf eine Handlung oder Unterlassung des Korrespondentreeders zurückzuführen ist.</w:t>
      </w:r>
    </w:p>
    <w:p>
      <w:r>
        <w:t xml:space="preserve">(2) Ist der Schuldner eine Personenhandelsgesellschaft, so kann jeder Gesellschafter seine persönliche Haftung für Ansprüche beschränken, für welche auch die Gesellschaft ihre Haftung beschränken kann.</w:t>
      </w:r>
    </w:p>
    <w:p>
      <w:r>
        <w:rPr>
          <w:color w:val="555555"/>
          <w:sz w:val="17"/>
        </w:rPr>
        <w:t xml:space="preserve">Zitiervorschlag: § 616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https://recht.nulegal.eu/gesetze/HGB/616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