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613 HGB — Haftungsbeschränkung für kleine Schiffe</w:t>
      </w:r>
    </w:p>
    <w:p>
      <w:r>
        <w:rPr>
          <w:color w:val="555555"/>
          <w:sz w:val="18"/>
        </w:rPr>
        <w:t xml:space="preserve">Handelsgesetzbuch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ein Schiff mit einem Raumgehalt bis zu 250 Tonnen wird der nach Artikel 6 Absatz 1 Buchstabe b des Haftungsbeschränkungsübereinkommens (§ 611 Absatz 1 Satz 1) zu errechnende Haftungshöchstbetrag auf die Hälfte des für ein Schiff mit einem Raumgehalt von 2 000 Tonnen geltenden Haftungshöchstbetrags festgesetzt.</w:t>
      </w:r>
    </w:p>
    <w:p>
      <w:r>
        <w:rPr>
          <w:color w:val="555555"/>
          <w:sz w:val="17"/>
        </w:rPr>
        <w:t xml:space="preserve">Zitiervorschlag: § 613 HGB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https://recht.nulegal.eu/gesetze/HGB/613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