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betreff der Kaufleute gegebenen Vorschriften finden auch auf die Handelsgesellschaften Anwendung.</w:t>
      </w:r>
    </w:p>
    <w:p>
      <w:r>
        <w:t xml:space="preserve">(2) Die Rechte und Pflichten eines Vereins, dem das Gesetz ohne Rücksicht auf den Gegenstand des Unternehmens die Eigenschaft eines Kaufmanns beilegt, bleiben unberührt, auch wenn die Voraussetzungen des § 1 Abs. 2 nicht vorliegen.</w:t>
      </w:r>
    </w:p>
    <w:p>
      <w:r>
        <w:rPr>
          <w:color w:val="555555"/>
          <w:sz w:val="17"/>
        </w:rPr>
        <w:t xml:space="preserve">Zitiervorschlag: § 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https://recht.nulegal.eu/gesetze/HGB/6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