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599 HGB — Erlöschen der Forderung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Erlischt die durch das Pfandrecht eines Schiffsgläubigers gesicherte Forderung, so erlischt auch das Pfandrecht.</w:t>
      </w:r>
    </w:p>
    <w:p>
      <w:r>
        <w:rPr>
          <w:color w:val="555555"/>
          <w:sz w:val="17"/>
        </w:rPr>
        <w:t xml:space="preserve">Zitiervorschlag: § 599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https://recht.nulegal.eu/gesetze/HGB/599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