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597 HGB — Pfandrecht der Schiffsgläubiger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Schiffsgläubiger haben für ihre Forderungen ein gesetzliches Pfandrecht an dem Schiff. Das Pfandrecht kann gegen jeden Besitzer des Schiffes verfolgt werden.</w:t>
      </w:r>
    </w:p>
    <w:p>
      <w:r>
        <w:t xml:space="preserve">(2) Das Schiff haftet auch für die gesetzlichen Zinsen der Forderungen sowie für die Kosten der die Befriedigung aus dem Schiff bezweckenden Rechtsverfolgung.</w:t>
      </w:r>
    </w:p>
    <w:p>
      <w:r>
        <w:rPr>
          <w:color w:val="555555"/>
          <w:sz w:val="17"/>
        </w:rPr>
        <w:t xml:space="preserve">Zitiervorschlag: § 597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https://recht.nulegal.eu/gesetze/HGB/597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