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595 HGB — Aufmachung der Dispache</w:t>
      </w:r>
    </w:p>
    <w:p>
      <w:r>
        <w:rPr>
          <w:color w:val="555555"/>
          <w:sz w:val="18"/>
        </w:rPr>
        <w:t xml:space="preserve">Handelsgesetzbuch</w:t>
      </w:r>
    </w:p>
    <w:p>
      <w:r>
        <w:rPr>
          <w:color w:val="555555"/>
          <w:sz w:val="18"/>
        </w:rPr>
        <w:t xml:space="preserve">Stand: 10.06.2019 (konsolidierte Textfassung, kein amtliches Inkrafttretensdatum)</w:t>
      </w:r>
    </w:p>
    <w:p>
      <w:r>
        <w:t xml:space="preserve">(1) Jeder Beteiligte ist berechtigt, die Aufmachung der Dispache am Bestimmungsort oder, wenn dieser nicht erreicht wird, in dem Hafen, in dem die Reise endet, zu veranlassen. Wurde Treibstoff oder Ladung vorsätzlich beschädigt oder aufgeopfert, ist der Reeder verpflichtet, die Aufmachung der Dispache an dem in Satz 1 genannten Ort unverzüglich zu veranlassen; unterlässt er dies, so ist er den Beteiligten für den daraus entstehenden Schaden verantwortlich.</w:t>
      </w:r>
    </w:p>
    <w:p>
      <w:r>
        <w:t xml:space="preserve">(2) Die Dispache wird durch einen öffentlich bestellten Sachverständigen oder eine vom Gericht besonders ernannte sachverständige Person (Dispacheur) aufgemacht.</w:t>
      </w:r>
    </w:p>
    <w:p>
      <w:r>
        <w:t xml:space="preserve">(3) Jeder Beteiligte hat die in seinen Händen befindlichen Urkunden, die zur Aufmachung der Dispache erforderlich sind, dem Dispacheur zur Verfügung zu stellen.</w:t>
      </w:r>
    </w:p>
    <w:p>
      <w:r>
        <w:rPr>
          <w:color w:val="555555"/>
          <w:sz w:val="17"/>
        </w:rPr>
        <w:t xml:space="preserve">Zitiervorschlag: § 595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