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593 HGB — Schiffsgläubigerrecht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Vergütungsberechtigten haben nach § 596 Absatz 1 Nummer 4 für ihre Beitragsforderungen gegen den Eigentümer des Schiffes sowie den Gläubiger der Fracht die Rechte eines Schiffsgläubigers an dem Schiff.</w:t>
      </w:r>
    </w:p>
    <w:p>
      <w:r>
        <w:rPr>
          <w:color w:val="555555"/>
          <w:sz w:val="17"/>
        </w:rPr>
        <w:t xml:space="preserve">Zitiervorschlag: § 593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https://recht.nulegal.eu/gesetze/HGB/593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