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590 HGB — Bemessung der Vergütung</w:t>
      </w:r>
    </w:p>
    <w:p>
      <w:r>
        <w:rPr>
          <w:color w:val="555555"/>
          <w:sz w:val="18"/>
        </w:rPr>
        <w:t xml:space="preserve">Handelsgesetzbuch</w:t>
      </w:r>
    </w:p>
    <w:p>
      <w:r>
        <w:rPr>
          <w:color w:val="555555"/>
          <w:sz w:val="18"/>
        </w:rPr>
        <w:t xml:space="preserve">Stand: 10.06.2019 (konsolidierte Textfassung, kein amtliches Inkrafttretensdatum)</w:t>
      </w:r>
    </w:p>
    <w:p>
      <w:r>
        <w:t xml:space="preserve">(1) Die Vergütung für die Aufopferung des Schiffes, dessen Zubehörs, des Treibstoffs und der zur Ladung gehörenden Frachtstücke bemisst sich nach dem Verkehrswert, den die Sachen am Ort und zur Zeit der Beendigung der Reise gehabt hätten.</w:t>
      </w:r>
    </w:p>
    <w:p>
      <w:r>
        <w:t xml:space="preserve">(2) Die Vergütung für die Beschädigung der in Absatz 1 genannten Sachen bemisst sich nach dem Unterschied zwischen dem Verkehrswert der beschädigten Sachen am Ort und zur Zeit der Beendigung der Reise und dem Verkehrswert, den die Sachen in unbeschädigtem Zustand an diesem Ort und zu dieser Zeit gehabt hätten. Sind Sachen nach dem Havereifall repariert worden, so wird vermutet, dass die für eine Reparatur der Sachen aufgewendeten Kosten dem Wertverlust entsprechen.</w:t>
      </w:r>
    </w:p>
    <w:p>
      <w:r>
        <w:t xml:space="preserve">(3) Die Vergütung für den Untergang einer Frachtforderung bemisst sich nach dem Betrag, der dem Verfrachter infolge der Großen Haverei nicht geschuldet ist.</w:t>
      </w:r>
    </w:p>
    <w:p>
      <w:r>
        <w:t xml:space="preserve">(4) War die aufgeopferte oder beschädigte Sache unmittelbar vor Beginn der Reise Gegenstand eines Kaufvertrags, so wird vermutet, dass der in der Rechnung des Verkäufers ausgewiesene Kaufpreis der Verkehrswert dieser Sache ist.</w:t>
      </w:r>
    </w:p>
    <w:p>
      <w:r>
        <w:rPr>
          <w:color w:val="555555"/>
          <w:sz w:val="17"/>
        </w:rPr>
        <w:t xml:space="preserve">Zitiervorschlag: § 590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590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