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586 HGB — Rangfolge der Pfandrechte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Pfandrechte an den geborgenen Sachen nach § 585 Absatz 2 haben den Vorrang vor allen anderen an den Sachen begründeten Pfandrechten, auch wenn diese früher entstanden sind.</w:t>
      </w:r>
    </w:p>
    <w:p>
      <w:r>
        <w:t xml:space="preserve">(2) Bestehen an einer Sache mehrere Pfandrechte nach § 585 Absatz 2, so geht das Pfandrecht für die später entstandene Forderung dem für die früher entstandene Forderung vor; Pfandrechte für gleichzeitig entstandene Forderungen sind gleichberechtigt; § 603 Absatz 3 gilt entsprechend. Das Gleiche gilt im Verhältnis eines Pfandrechts nach § 585 Absatz 2 zu einem wegen desselben Ereignisses begründeten Pfandrechts für eine Forderung auf einen Beitrag zur Großen Haverei nach § 594 Absatz 1.</w:t>
      </w:r>
    </w:p>
    <w:p>
      <w:r>
        <w:t xml:space="preserve">(3) Pfandrechte an den geborgenen Sachen nach § 585 Absatz 2 erlöschen ein Jahr nach Entstehung der Forderung; § 600 Absatz 2 gilt entsprechend.</w:t>
      </w:r>
    </w:p>
    <w:p>
      <w:r>
        <w:t xml:space="preserve">(4) Die Befriedigung des Gläubigers aus den geborgenen Sachen wegen des Pfandrechts nach § 585 Absatz 2 erfolgt nach den für die Zwangsvollstreckung geltenden Vorschriften. Die Klage ist bei Sachen, die noch nicht ausgeliefert sind, gegen den Schiffer oder Kapitän zu richten; das gegen den Schiffer oder Kapitän ergangene Urteil ist auch gegenüber dem Eigentümer wirksam.</w:t>
      </w:r>
    </w:p>
    <w:p>
      <w:r>
        <w:rPr>
          <w:color w:val="555555"/>
          <w:sz w:val="17"/>
        </w:rPr>
        <w:t xml:space="preserve">Zitiervorschlag: § 586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