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573 HGB — Beteiligung eines Binnenschiffs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dieses Unterabschnitts sind entsprechend anzuwenden, wenn an dem Unfall ein Binnenschiff beteiligt ist.</w:t>
      </w:r>
    </w:p>
    <w:p>
      <w:r>
        <w:rPr>
          <w:color w:val="555555"/>
          <w:sz w:val="17"/>
        </w:rPr>
        <w:t xml:space="preserve">Zitiervorschlag: § 573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https://recht.nulegal.eu/gesetze/HGB/573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