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567 HGB — Pflichtverletzung</w:t>
      </w:r>
    </w:p>
    <w:p>
      <w:r>
        <w:rPr>
          <w:color w:val="555555"/>
          <w:sz w:val="18"/>
        </w:rPr>
        <w:t xml:space="preserve">Handelsgesetzbuch</w:t>
      </w:r>
    </w:p>
    <w:p>
      <w:r>
        <w:rPr>
          <w:color w:val="555555"/>
          <w:sz w:val="18"/>
        </w:rPr>
        <w:t xml:space="preserve">Stand: 10.06.2019 (konsolidierte Textfassung, kein amtliches Inkrafttretensdatum)</w:t>
      </w:r>
    </w:p>
    <w:p>
      <w:r>
        <w:t xml:space="preserve">Verletzt eine Partei des Zeitchartervertrags eine Pflicht aus diesem Vertrag, so bestimmen sich die Rechtsfolgen nach den allgemeinen für Schuldverhältnisse geltenden Vorschriften des Bürgerlichen Gesetzbuchs, soweit nicht in diesem Unterabschnitt etwas anderes bestimmt ist.</w:t>
      </w:r>
    </w:p>
    <w:p>
      <w:r>
        <w:rPr>
          <w:color w:val="555555"/>
          <w:sz w:val="17"/>
        </w:rPr>
        <w:t xml:space="preserve">Zitiervorschlag: § 567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567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