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564 HGB — Kosten für den Betrieb des Schiffes</w:t>
      </w:r>
    </w:p>
    <w:p>
      <w:r>
        <w:rPr>
          <w:color w:val="555555"/>
          <w:sz w:val="18"/>
        </w:rPr>
        <w:t xml:space="preserve">Handelsgesetzbuch</w:t>
      </w:r>
    </w:p>
    <w:p>
      <w:r>
        <w:rPr>
          <w:color w:val="555555"/>
          <w:sz w:val="18"/>
        </w:rPr>
        <w:t xml:space="preserve">Stand: 10.06.2019 (konsolidierte Textfassung, kein amtliches Inkrafttretensdatum)</w:t>
      </w:r>
    </w:p>
    <w:p>
      <w:r>
        <w:t xml:space="preserve">(1) Der Zeitvercharterer hat die fixen Kosten des Schiffsbetriebs zu tragen, insbesondere die Kosten der Besatzung, Ausrüstung, Unterhaltung und Versicherung des Schiffes.</w:t>
      </w:r>
    </w:p>
    <w:p>
      <w:r>
        <w:t xml:space="preserve">(2) Der Zeitcharterer hat die variablen Kosten des Schiffsbetriebs zu tragen, insbesondere Hafengebühren, Lotsengelder, Schlepperhilfen und Prämien für eine weiter gehende Versicherung des Schiffes. Der Zeitcharterer hat ferner den für den Betrieb des Schiffes erforderlichen Treibstoff in handelsüblicher Qualität zu beschaffen.</w:t>
      </w:r>
    </w:p>
    <w:p>
      <w:r>
        <w:rPr>
          <w:color w:val="555555"/>
          <w:sz w:val="17"/>
        </w:rPr>
        <w:t xml:space="preserve">Zitiervorschlag: § 564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564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