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563 HGB — Verladen und Löschen</w:t>
      </w:r>
    </w:p>
    <w:p>
      <w:r>
        <w:rPr>
          <w:color w:val="555555"/>
          <w:sz w:val="18"/>
        </w:rPr>
        <w:t xml:space="preserve">Handelsgesetzbuch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Zeitcharterer hat, wenn das Schiff zur Beförderung von Gütern verwendet wird, diese zu verladen und zu löschen.</w:t>
      </w:r>
    </w:p>
    <w:p>
      <w:r>
        <w:t xml:space="preserve">(2) Der Zeitvercharterer hat dafür zu sorgen, dass die Verladung die Seetüchtigkeit des Schiffes nicht beeinträchtigt.</w:t>
      </w:r>
    </w:p>
    <w:p>
      <w:r>
        <w:rPr>
          <w:color w:val="555555"/>
          <w:sz w:val="17"/>
        </w:rPr>
        <w:t xml:space="preserve">Zitiervorschlag: § 563 HGB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https://recht.nulegal.eu/gesetze/HGB/563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