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552 HGB — Pfandrecht des Beförderers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Beförderer hat für seine Forderung auf das Beförderungsentgelt ein Pfandrecht an dem Gepäck des Fahrgasts.</w:t>
      </w:r>
    </w:p>
    <w:p>
      <w:r>
        <w:t xml:space="preserve">(2) Das Pfandrecht besteht nur, solange das Gepäck zurückbehalten oder hinterlegt ist.</w:t>
      </w:r>
    </w:p>
    <w:p>
      <w:r>
        <w:rPr>
          <w:color w:val="555555"/>
          <w:sz w:val="17"/>
        </w:rPr>
        <w:t xml:space="preserve">Zitiervorschlag: § 552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