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547 HGB — Haftung der Leute und der Schiffsbesatzung</w:t>
      </w:r>
    </w:p>
    <w:p>
      <w:r>
        <w:rPr>
          <w:color w:val="555555"/>
          <w:sz w:val="18"/>
        </w:rPr>
        <w:t xml:space="preserve">Handelsgesetzbuch</w:t>
      </w:r>
    </w:p>
    <w:p>
      <w:r>
        <w:rPr>
          <w:color w:val="555555"/>
          <w:sz w:val="18"/>
        </w:rPr>
        <w:t xml:space="preserve">Stand: 10.06.2019 (konsolidierte Textfassung, kein amtliches Inkrafttretensdatum)</w:t>
      </w:r>
    </w:p>
    <w:p>
      <w:r>
        <w:t xml:space="preserve">(1) Wird einer der Leute des Beförderers oder des ausführenden Beförderers wegen Tod oder Körperverletzung eines Fahrgasts oder wegen Verlust, Beschädigung oder verspäteter Aushändigung von Gepäck eines Fahrgasts in Anspruch genommen, so kann auch er sich auf die für den Beförderer oder den ausführenden Beförderer geltenden Einreden und Haftungsbeschränkungen berufen, wenn er in Ausübung seiner Verrichtungen gehandelt hat. Gleiches gilt, wenn ein Mitglied der Schiffsbesatzung in Anspruch genommen wird.</w:t>
      </w:r>
    </w:p>
    <w:p>
      <w:r>
        <w:t xml:space="preserve">(2) Eine Berufung auf die Haftungsbeschränkungen nach Absatz 1 ist ausgeschlossen, wenn der Schuldner selbst vorsätzlich oder leichtfertig und in dem Bewusstsein gehandelt hat, dass ein solcher Schaden mit Wahrscheinlichkeit eintreten werde.</w:t>
      </w:r>
    </w:p>
    <w:p>
      <w:r>
        <w:t xml:space="preserve">(3) Sind für den Schaden sowohl der Beförderer oder der ausführende Beförderer als auch eine der in Absatz 1 genannten Personen verantwortlich, haften sie als Gesamtschuldner.</w:t>
      </w:r>
    </w:p>
    <w:p>
      <w:r>
        <w:rPr>
          <w:color w:val="555555"/>
          <w:sz w:val="17"/>
        </w:rPr>
        <w:t xml:space="preserve">Zitiervorschlag: § 547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