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541 HGB — Haftungshöchstbetrag bei Personenschäden</w:t>
      </w:r>
    </w:p>
    <w:p>
      <w:r>
        <w:rPr>
          <w:color w:val="555555"/>
          <w:sz w:val="18"/>
        </w:rPr>
        <w:t xml:space="preserve">Handelsgesetzbuch</w:t>
      </w:r>
    </w:p>
    <w:p>
      <w:r>
        <w:rPr>
          <w:color w:val="555555"/>
          <w:sz w:val="18"/>
        </w:rPr>
        <w:t xml:space="preserve">Stand: 10.06.2019 (konsolidierte Textfassung, kein amtliches Inkrafttretensdatum)</w:t>
      </w:r>
    </w:p>
    <w:p>
      <w:r>
        <w:t xml:space="preserve">(1) Die Haftung des Beförderers wegen Tod oder Körperverletzung eines Fahrgasts ist in jedem Fall auf einen Betrag von 400 000 Rechnungseinheiten je Fahrgast und Schadensereignis beschränkt. Dies gilt auch für den Kapitalwert einer als Entschädigung zu leistenden Rente.</w:t>
      </w:r>
    </w:p>
    <w:p>
      <w:r>
        <w:t xml:space="preserve">(2) Abweichend von Absatz 1 ist die Haftung des Beförderers auf einen Betrag von 250 000 Rechnungseinheiten je Fahrgast und Schadensereignis beschränkt, wenn der Tod oder die Körperverletzung auf einem der folgenden Umstände beruht:</w:t>
      </w:r>
    </w:p>
    <w:p>
      <w:pPr>
        <w:ind w:left="420"/>
      </w:pPr>
      <w:r>
        <w:t xml:space="preserve">1. Krieg, Bürgerkrieg, Revolution, Aufruhr, Aufständen oder dadurch veranlassten inneren Unruhen oder feindlichen Handlungen durch oder gegen eine Krieg führende Macht,</w:t>
      </w:r>
    </w:p>
    <w:p>
      <w:pPr>
        <w:ind w:left="420"/>
      </w:pPr>
      <w:r>
        <w:t xml:space="preserve">2. Beschlagnahme, Pfändung, Arrest, Verfügungsbeschränkung oder Festhalten sowie deren Folgen oder dahingehenden Versuchen,</w:t>
      </w:r>
    </w:p>
    <w:p>
      <w:pPr>
        <w:ind w:left="420"/>
      </w:pPr>
      <w:r>
        <w:t xml:space="preserve">3. zurückgelassenen Minen, Torpedos, Bomben oder sonstigen zurückgelassenen Kriegswaffen,</w:t>
      </w:r>
    </w:p>
    <w:p>
      <w:pPr>
        <w:ind w:left="420"/>
      </w:pPr>
      <w:r>
        <w:t xml:space="preserve">4. Anschlägen von Terroristen oder Personen, die die Anschläge böswillig oder aus politischen Beweggründen begehen, und Maßnahmen, die zur Verhinderung oder Bekämpfung solcher Anschläge ergriffen werden,</w:t>
      </w:r>
    </w:p>
    <w:p>
      <w:pPr>
        <w:ind w:left="420"/>
      </w:pPr>
      <w:r>
        <w:t xml:space="preserve">5. Einziehung und Enteignung.</w:t>
      </w:r>
    </w:p>
    <w:p>
      <w:r>
        <w:t xml:space="preserve">(3) Bei Tod oder Körperverletzung mehrerer Fahrgäste tritt bei Anwendung des Absatzes 2 an die Stelle des darin genannten Betrages von 250 000 Rechnungseinheiten je Fahrgast und Schadensereignis der Betrag von 340 Millionen Rechnungseinheiten je Schiff und Schadensereignis, wenn dieser Betrag niedriger ist und unter den Geschädigten im Verhältnis der Höhe ihrer Ansprüche und in Form einer einmaligen Zahlung oder in Form von Teilzahlungen aufgeteilt werden kann.</w:t>
      </w:r>
    </w:p>
    <w:p>
      <w:r>
        <w:rPr>
          <w:color w:val="555555"/>
          <w:sz w:val="17"/>
        </w:rPr>
        <w:t xml:space="preserve">Zitiervorschlag: § 541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https://recht.nulegal.eu/gesetze/HGB/541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541 HGB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